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B7821" w14:textId="4487FB37" w:rsidR="00A00187" w:rsidRPr="000263E0" w:rsidRDefault="00A00187" w:rsidP="00A00187">
      <w:pPr>
        <w:tabs>
          <w:tab w:val="center" w:pos="1985"/>
        </w:tabs>
        <w:rPr>
          <w:lang w:val="en-US"/>
        </w:rPr>
      </w:pPr>
      <w:r w:rsidRPr="000263E0">
        <w:rPr>
          <w:lang w:val="en-US"/>
        </w:rPr>
        <w:tab/>
        <w:t>UBND TỈNH QUẢNG NAM</w:t>
      </w:r>
    </w:p>
    <w:p w14:paraId="3DE73329" w14:textId="2FBD3C08" w:rsidR="00A00187" w:rsidRPr="000263E0" w:rsidRDefault="00A00187" w:rsidP="00A00187">
      <w:pPr>
        <w:tabs>
          <w:tab w:val="center" w:pos="1985"/>
        </w:tabs>
        <w:spacing w:before="0"/>
        <w:rPr>
          <w:b/>
          <w:bCs/>
          <w:lang w:val="en-US"/>
        </w:rPr>
      </w:pPr>
      <w:r w:rsidRPr="000263E0">
        <w:rPr>
          <w:lang w:val="en-US"/>
        </w:rPr>
        <w:tab/>
      </w:r>
      <w:r w:rsidRPr="000263E0">
        <w:rPr>
          <w:b/>
          <w:bCs/>
          <w:lang w:val="en-US"/>
        </w:rPr>
        <w:t>SỞ GIÁO DỤC VÀ ĐÀO TẠO</w:t>
      </w:r>
    </w:p>
    <w:p w14:paraId="20A1321B" w14:textId="1976C245" w:rsidR="00A00187" w:rsidRPr="000263E0" w:rsidRDefault="00A00187" w:rsidP="00A03598">
      <w:pPr>
        <w:rPr>
          <w:lang w:val="en-US"/>
        </w:rPr>
      </w:pPr>
      <w:r w:rsidRPr="000263E0">
        <w:rPr>
          <w:noProof/>
          <w:lang w:val="en-US"/>
        </w:rPr>
        <mc:AlternateContent>
          <mc:Choice Requires="wps">
            <w:drawing>
              <wp:anchor distT="0" distB="0" distL="114300" distR="114300" simplePos="0" relativeHeight="251659264" behindDoc="0" locked="0" layoutInCell="1" allowOverlap="1" wp14:anchorId="7C0781EB" wp14:editId="0C83F4C2">
                <wp:simplePos x="0" y="0"/>
                <wp:positionH relativeFrom="column">
                  <wp:posOffset>689915</wp:posOffset>
                </wp:positionH>
                <wp:positionV relativeFrom="paragraph">
                  <wp:posOffset>46355</wp:posOffset>
                </wp:positionV>
                <wp:extent cx="1080000" cy="0"/>
                <wp:effectExtent l="0" t="0" r="0" b="0"/>
                <wp:wrapNone/>
                <wp:docPr id="698161009" name="Straight Connector 1"/>
                <wp:cNvGraphicFramePr/>
                <a:graphic xmlns:a="http://schemas.openxmlformats.org/drawingml/2006/main">
                  <a:graphicData uri="http://schemas.microsoft.com/office/word/2010/wordprocessingShape">
                    <wps:wsp>
                      <wps:cNvCnPr/>
                      <wps:spPr>
                        <a:xfrm>
                          <a:off x="0" y="0"/>
                          <a:ext cx="10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3A40D2"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3pt,3.65pt" to="139.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" strokecolor="black [3200]" strokeweight=".5pt">
                <v:stroke joinstyle="miter"/>
              </v:line>
            </w:pict>
          </mc:Fallback>
        </mc:AlternateContent>
      </w:r>
    </w:p>
    <w:p w14:paraId="5EC73BBC" w14:textId="4EAD8D63" w:rsidR="00A00187" w:rsidRPr="000263E0" w:rsidRDefault="00A00187" w:rsidP="00A00187">
      <w:pPr>
        <w:jc w:val="center"/>
        <w:rPr>
          <w:b/>
          <w:bCs/>
          <w:lang w:val="en-US"/>
        </w:rPr>
      </w:pPr>
      <w:r w:rsidRPr="000263E0">
        <w:rPr>
          <w:b/>
          <w:bCs/>
          <w:lang w:val="en-US"/>
        </w:rPr>
        <w:t>THAM LUẬN</w:t>
      </w:r>
    </w:p>
    <w:p w14:paraId="2B31FD04" w14:textId="254AE034" w:rsidR="00A00187" w:rsidRPr="000263E0" w:rsidRDefault="00A00187" w:rsidP="00A00187">
      <w:pPr>
        <w:jc w:val="center"/>
        <w:rPr>
          <w:b/>
          <w:bCs/>
        </w:rPr>
      </w:pPr>
      <w:r w:rsidRPr="000263E0">
        <w:rPr>
          <w:b/>
          <w:bCs/>
        </w:rPr>
        <w:t xml:space="preserve">Kết quả thực hiện dịch vụ công trực tuyến đăng ký thi tốt nghiệp THPT </w:t>
      </w:r>
      <w:r w:rsidRPr="000263E0">
        <w:rPr>
          <w:b/>
          <w:bCs/>
        </w:rPr>
        <w:br/>
        <w:t xml:space="preserve">và đăng ký xét tuyển Đại học, cao đẳng trên địa bàn tỉnh; </w:t>
      </w:r>
      <w:r w:rsidRPr="000263E0">
        <w:rPr>
          <w:b/>
          <w:bCs/>
        </w:rPr>
        <w:br/>
        <w:t>việc triển khai thu học phí không dùng tiền mặt</w:t>
      </w:r>
    </w:p>
    <w:p w14:paraId="03D5E359" w14:textId="2D025893" w:rsidR="00A00187" w:rsidRPr="000263E0" w:rsidRDefault="00A00187" w:rsidP="00A00187">
      <w:pPr>
        <w:jc w:val="center"/>
        <w:rPr>
          <w:i/>
          <w:iCs/>
        </w:rPr>
      </w:pPr>
      <w:r w:rsidRPr="000263E0">
        <w:rPr>
          <w:i/>
          <w:iCs/>
        </w:rPr>
        <w:t>(tại Hội nghị sơ kết 02 năm triển khai, thực hiện Đề án 06)</w:t>
      </w:r>
    </w:p>
    <w:p w14:paraId="112A4BA3" w14:textId="3A0D828A" w:rsidR="00A00187" w:rsidRPr="000263E0" w:rsidRDefault="00A00187" w:rsidP="00A03598">
      <w:r w:rsidRPr="000263E0">
        <w:rPr>
          <w:noProof/>
          <w:lang w:val="en-US"/>
        </w:rPr>
        <mc:AlternateContent>
          <mc:Choice Requires="wps">
            <w:drawing>
              <wp:anchor distT="0" distB="0" distL="114300" distR="114300" simplePos="0" relativeHeight="251661312" behindDoc="0" locked="0" layoutInCell="1" allowOverlap="1" wp14:anchorId="1B92BDFF" wp14:editId="4ADF66AE">
                <wp:simplePos x="0" y="0"/>
                <wp:positionH relativeFrom="margin">
                  <wp:align>center</wp:align>
                </wp:positionH>
                <wp:positionV relativeFrom="paragraph">
                  <wp:posOffset>76886</wp:posOffset>
                </wp:positionV>
                <wp:extent cx="1080000" cy="0"/>
                <wp:effectExtent l="0" t="0" r="0" b="0"/>
                <wp:wrapNone/>
                <wp:docPr id="1146460094" name="Straight Connector 1"/>
                <wp:cNvGraphicFramePr/>
                <a:graphic xmlns:a="http://schemas.openxmlformats.org/drawingml/2006/main">
                  <a:graphicData uri="http://schemas.microsoft.com/office/word/2010/wordprocessingShape">
                    <wps:wsp>
                      <wps:cNvCnPr/>
                      <wps:spPr>
                        <a:xfrm>
                          <a:off x="0" y="0"/>
                          <a:ext cx="10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9523AF" id="Straight Connector 1"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6.05pt" to="85.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" strokecolor="black [3200]" strokeweight=".5pt">
                <v:stroke joinstyle="miter"/>
                <w10:wrap anchorx="margin"/>
              </v:line>
            </w:pict>
          </mc:Fallback>
        </mc:AlternateContent>
      </w:r>
    </w:p>
    <w:p w14:paraId="7E9BBDE8" w14:textId="152DAE8F" w:rsidR="00A03598" w:rsidRPr="000263E0" w:rsidRDefault="00A03598" w:rsidP="000263E0">
      <w:pPr>
        <w:ind w:firstLine="720"/>
      </w:pPr>
      <w:r w:rsidRPr="000263E0">
        <w:t xml:space="preserve">Thực hiện </w:t>
      </w:r>
      <w:r w:rsidR="00A00187" w:rsidRPr="000263E0">
        <w:t>Kế hoạch số 1543/KH-UBND ngày 16/3/2022 của UBND tỉnh về triển khai thực hiện Đề án 06 trên địa bàn tỉnh</w:t>
      </w:r>
      <w:r w:rsidR="0007214B" w:rsidRPr="000263E0">
        <w:t xml:space="preserve">, kể từ khi triển khai Đề án 06 đến nay, </w:t>
      </w:r>
      <w:r w:rsidRPr="000263E0">
        <w:t xml:space="preserve">Sở Giáo dục và Đào tạo đã triển khai thực hiện nghiêm túc các văn bản </w:t>
      </w:r>
      <w:r w:rsidR="0007214B" w:rsidRPr="000263E0">
        <w:t xml:space="preserve">chỉ đạo, hướng dẫn của </w:t>
      </w:r>
      <w:r w:rsidR="000263E0" w:rsidRPr="000263E0">
        <w:t xml:space="preserve">Bộ Giáo dục và Đào tạo, </w:t>
      </w:r>
      <w:r w:rsidR="0007214B" w:rsidRPr="000263E0">
        <w:t xml:space="preserve">UBND tỉnh, Tổ công tác Đề án 06 và tổ chức thực hiện tốt </w:t>
      </w:r>
      <w:r w:rsidRPr="000263E0">
        <w:t xml:space="preserve">các nhiệm vụ </w:t>
      </w:r>
      <w:r w:rsidR="0007214B" w:rsidRPr="000263E0">
        <w:t>được giao</w:t>
      </w:r>
      <w:r w:rsidRPr="000263E0">
        <w:t>, cụ thể:</w:t>
      </w:r>
    </w:p>
    <w:p w14:paraId="0175BE9C" w14:textId="76D58EEE" w:rsidR="0007214B" w:rsidRPr="000263E0" w:rsidRDefault="005C1070" w:rsidP="000263E0">
      <w:pPr>
        <w:widowControl w:val="0"/>
        <w:ind w:firstLine="720"/>
      </w:pPr>
      <w:r w:rsidRPr="000263E0">
        <w:t>-</w:t>
      </w:r>
      <w:r w:rsidR="0007214B" w:rsidRPr="000263E0">
        <w:t xml:space="preserve"> Phối hợp với Công an tỉnh kết nối, chia sẻ dữ liệu thuộc phạm vi quản lý nhà nước của Sở Giáo dục và Đào tạo với Cơ sở dữ liệu quốc gia về dân cư, hệ thống định danh và xác thực điện tử, cổng Dịch vụ công quốc gia, hệ thống thông tin giải quyết thủ tục hành chính cấp tỉnh phục vụ giải quyết thủ tục hành chính và làm giàu dữ liệu dân cư.</w:t>
      </w:r>
      <w:bookmarkStart w:id="0" w:name="bookmark46"/>
      <w:bookmarkEnd w:id="0"/>
    </w:p>
    <w:p w14:paraId="1D1E19DA" w14:textId="5D6E3396" w:rsidR="0007214B" w:rsidRPr="000263E0" w:rsidRDefault="005C1070" w:rsidP="000263E0">
      <w:pPr>
        <w:widowControl w:val="0"/>
        <w:ind w:firstLine="720"/>
      </w:pPr>
      <w:r w:rsidRPr="000263E0">
        <w:t>-</w:t>
      </w:r>
      <w:r w:rsidR="0007214B" w:rsidRPr="000263E0">
        <w:t xml:space="preserve"> Thống kê rà soát, lập danh sách những công dân trong độ tuổi làm hồ sơ thi tốt nghiệp THPT, phối hợp Công an tỉnh tổ chức thu nhận hồ sơ Căn cước công dân và định danh điện tử theo quy định.</w:t>
      </w:r>
    </w:p>
    <w:p w14:paraId="26D275FF" w14:textId="37E2438C" w:rsidR="0007214B" w:rsidRPr="000263E0" w:rsidRDefault="005C1070" w:rsidP="000263E0">
      <w:pPr>
        <w:widowControl w:val="0"/>
        <w:ind w:firstLine="720"/>
      </w:pPr>
      <w:r w:rsidRPr="000263E0">
        <w:t>-</w:t>
      </w:r>
      <w:r w:rsidR="0007214B" w:rsidRPr="000263E0">
        <w:t xml:space="preserve"> Tổ chức thực hiện Nghị quyết của Chính phủ về đơn giản hóa thủ tục hành chính, giấy tờ công dân liên quan đến quản lý dân cư thuộc phạm vi chức năng quản lý của Sở Giáo dục và đào tạo.</w:t>
      </w:r>
      <w:bookmarkStart w:id="1" w:name="bookmark47"/>
      <w:bookmarkEnd w:id="1"/>
    </w:p>
    <w:p w14:paraId="730586A5" w14:textId="43D24E1E" w:rsidR="0007214B" w:rsidRPr="000263E0" w:rsidRDefault="005C1070" w:rsidP="000263E0">
      <w:pPr>
        <w:widowControl w:val="0"/>
        <w:ind w:firstLine="720"/>
      </w:pPr>
      <w:r w:rsidRPr="000263E0">
        <w:t>-</w:t>
      </w:r>
      <w:r w:rsidR="0007214B" w:rsidRPr="000263E0">
        <w:t xml:space="preserve"> Triển khai cấp chữ ký số cho các cơ sở giáo dục.</w:t>
      </w:r>
    </w:p>
    <w:p w14:paraId="752E04A9" w14:textId="1B71E7C4" w:rsidR="0007214B" w:rsidRPr="000263E0" w:rsidRDefault="005C1070" w:rsidP="000263E0">
      <w:pPr>
        <w:widowControl w:val="0"/>
        <w:ind w:firstLine="720"/>
      </w:pPr>
      <w:r w:rsidRPr="000263E0">
        <w:t>-</w:t>
      </w:r>
      <w:r w:rsidR="0007214B" w:rsidRPr="000263E0">
        <w:t xml:space="preserve"> Triển khai giải pháp không dùng tiền mặt tại các cơ sở giáo dục.</w:t>
      </w:r>
    </w:p>
    <w:p w14:paraId="60D6F35B" w14:textId="746D64E4" w:rsidR="0007214B" w:rsidRPr="000263E0" w:rsidRDefault="0007214B" w:rsidP="000263E0">
      <w:pPr>
        <w:widowControl w:val="0"/>
        <w:ind w:firstLine="720"/>
      </w:pPr>
      <w:r w:rsidRPr="000263E0">
        <w:t xml:space="preserve">Trong các nhiệm vụ </w:t>
      </w:r>
      <w:r w:rsidR="000263E0" w:rsidRPr="000263E0">
        <w:t xml:space="preserve">được giao ở </w:t>
      </w:r>
      <w:r w:rsidRPr="000263E0">
        <w:t>trên, nhiệm vụ về triển khai dịch vụ công trực tuyến thiết yếu</w:t>
      </w:r>
      <w:r w:rsidR="00735797" w:rsidRPr="000263E0">
        <w:t xml:space="preserve"> </w:t>
      </w:r>
      <w:r w:rsidR="005833ED" w:rsidRPr="000263E0">
        <w:t>“Đ</w:t>
      </w:r>
      <w:r w:rsidR="00735797" w:rsidRPr="000263E0">
        <w:t>ăng ký dự thi tốt nghiệp THPT và xét tuyển đại học, cao đẳng</w:t>
      </w:r>
      <w:r w:rsidR="005833ED" w:rsidRPr="000263E0">
        <w:t>”</w:t>
      </w:r>
      <w:r w:rsidR="00735797" w:rsidRPr="000263E0">
        <w:t xml:space="preserve"> và triển khai giải pháp không dùng tiền mặt tại các cơ sở giáo dục trên địa bàn tỉnh được </w:t>
      </w:r>
      <w:r w:rsidRPr="000263E0">
        <w:t xml:space="preserve">Sở Giáo dục và Đào tạo </w:t>
      </w:r>
      <w:r w:rsidR="00735797" w:rsidRPr="000263E0">
        <w:t xml:space="preserve">chú trọng triển khai và chỉ đạo, tổ chức, hướng dẫn thực hiện và đạt được những kết quả </w:t>
      </w:r>
      <w:r w:rsidR="005C1070" w:rsidRPr="000263E0">
        <w:t>như sau:</w:t>
      </w:r>
    </w:p>
    <w:p w14:paraId="3746E730" w14:textId="75084EC7" w:rsidR="00D8531E" w:rsidRPr="00C62E7C" w:rsidRDefault="00D8531E" w:rsidP="000263E0">
      <w:pPr>
        <w:widowControl w:val="0"/>
        <w:ind w:firstLine="720"/>
        <w:rPr>
          <w:b/>
          <w:bCs/>
        </w:rPr>
      </w:pPr>
      <w:r w:rsidRPr="000263E0">
        <w:rPr>
          <w:b/>
          <w:bCs/>
        </w:rPr>
        <w:t>I. KẾT QUẢ THỰC HI</w:t>
      </w:r>
      <w:r w:rsidRPr="00C62E7C">
        <w:rPr>
          <w:b/>
          <w:bCs/>
        </w:rPr>
        <w:t>ỆN</w:t>
      </w:r>
    </w:p>
    <w:p w14:paraId="50F549D5" w14:textId="253EE68B" w:rsidR="005C1070" w:rsidRPr="000263E0" w:rsidRDefault="005C1070" w:rsidP="000263E0">
      <w:pPr>
        <w:widowControl w:val="0"/>
        <w:ind w:firstLine="720"/>
      </w:pPr>
      <w:r w:rsidRPr="000263E0">
        <w:rPr>
          <w:b/>
          <w:bCs/>
        </w:rPr>
        <w:t>1.</w:t>
      </w:r>
      <w:r w:rsidRPr="000263E0">
        <w:t xml:space="preserve"> Tăng cường công tác tuyên truyền các nội dung cơ bản của Đề án 06 nói chung, việc đăng ký, sử dụng tài khoản định danh điện tử nói riêng để thực hiện, giải quyết thủ tục hành chính trực tuyến trên Cổng dịch vụ công quốc gia, Hệ thống thông tin giải quyết </w:t>
      </w:r>
      <w:r w:rsidR="005833ED" w:rsidRPr="000263E0">
        <w:t xml:space="preserve">thủ tục hành chính </w:t>
      </w:r>
      <w:r w:rsidRPr="000263E0">
        <w:t>của tỉnh</w:t>
      </w:r>
      <w:r w:rsidR="005833ED" w:rsidRPr="000263E0">
        <w:t>,</w:t>
      </w:r>
      <w:r w:rsidRPr="000263E0">
        <w:t xml:space="preserve"> </w:t>
      </w:r>
      <w:r w:rsidR="005833ED" w:rsidRPr="000263E0">
        <w:t xml:space="preserve">trong đó có thực hiện </w:t>
      </w:r>
      <w:r w:rsidRPr="000263E0">
        <w:t xml:space="preserve">đăng </w:t>
      </w:r>
      <w:r w:rsidRPr="000263E0">
        <w:lastRenderedPageBreak/>
        <w:t xml:space="preserve">ký thi tốt nghiệp THPT năm </w:t>
      </w:r>
      <w:r w:rsidR="005833ED" w:rsidRPr="000263E0">
        <w:t xml:space="preserve">2022, </w:t>
      </w:r>
      <w:r w:rsidRPr="000263E0">
        <w:t>2023 bằng hình thức nộp hồ sơ trực tuyến.</w:t>
      </w:r>
    </w:p>
    <w:p w14:paraId="297D000C" w14:textId="10FFB4C5" w:rsidR="005833ED" w:rsidRPr="000263E0" w:rsidRDefault="005C1070" w:rsidP="000263E0">
      <w:pPr>
        <w:widowControl w:val="0"/>
        <w:ind w:firstLine="720"/>
      </w:pPr>
      <w:r w:rsidRPr="000263E0">
        <w:rPr>
          <w:b/>
          <w:bCs/>
        </w:rPr>
        <w:t>2.</w:t>
      </w:r>
      <w:r w:rsidRPr="000263E0">
        <w:t xml:space="preserve"> Trên cơ sở các văn bản chỉ đạo, hướng dẫn của Bộ Giáo dục và Đào tạo, Bộ Công an, Công an tỉnh</w:t>
      </w:r>
      <w:r w:rsidR="005833ED" w:rsidRPr="000263E0">
        <w:t xml:space="preserve">, </w:t>
      </w:r>
      <w:r w:rsidRPr="000263E0">
        <w:t>Sở Giáo dục và Đào tạo đã ban hành văn bản chỉ đạo, hướng dẫn: về công tác đăng ký dự thi tốt nghiệp THPT và xét tuyển đại học, cao đẳng năm 2022</w:t>
      </w:r>
      <w:r w:rsidR="005833ED" w:rsidRPr="000263E0">
        <w:t>, 2023</w:t>
      </w:r>
      <w:r w:rsidRPr="000263E0">
        <w:t>; việc phối hợp thu nhận hồ sơ cấp thẻ căn cước công dân</w:t>
      </w:r>
      <w:r w:rsidR="005833ED" w:rsidRPr="000263E0">
        <w:t xml:space="preserve"> </w:t>
      </w:r>
      <w:r w:rsidRPr="000263E0">
        <w:t>gắn chip điện tử và định danh điện tử cho học sinh với công an tỉnh, công an địa phương; tập huấn</w:t>
      </w:r>
      <w:r w:rsidR="005833ED" w:rsidRPr="000263E0">
        <w:t xml:space="preserve">, hướng dẫn </w:t>
      </w:r>
      <w:r w:rsidRPr="000263E0">
        <w:t>công tác làm hồ sơ đăng ký dự thi tốt nghiệp THPT</w:t>
      </w:r>
      <w:r w:rsidR="005833ED" w:rsidRPr="000263E0">
        <w:t xml:space="preserve"> trong 2 năm 2022 và 2023.</w:t>
      </w:r>
    </w:p>
    <w:p w14:paraId="01991817" w14:textId="5D484182" w:rsidR="005833ED" w:rsidRPr="000263E0" w:rsidRDefault="005833ED" w:rsidP="000263E0">
      <w:pPr>
        <w:widowControl w:val="0"/>
        <w:ind w:firstLine="720"/>
      </w:pPr>
      <w:r w:rsidRPr="000263E0">
        <w:t>Bên cạnh đó, Sở cũng đã tổ chức tập huấn, hướng dẫn thực hiện đăng ký dự thi tốt nghiệp THPT và xét tuyển đại học, cao đẳng trong 2 năm qua trên hệ thống cho công chức, viên chức làm công tác hỗ trợ tuyển sinh; chỉ đạo các cơ sở giáo dục tổ chức tập huấn, hướng dẫn quy trình thực hiện đăng ký dự thi tốt nghiệp THPT và xét tuyển đại học, cao đẳng năm 2022 trên hệ thống cho thí sinh; hướng dẫn các đơn vị rà soát căn cước công dân của thí sinh trong quá trình cấp tài khoản cho thí sinh. Trong quá trình triển khai, theo hướng dẫn kỳ thi, thí sinh tiếp nhận tài khoản đăng ký qua 2 hình thức là cấp tài khoản cho thí sinh qua hệ thống quản lý thi Tốt nghiệp THPT hoặc thí sinh tự đăng ký cấp tài khoản cho thí sinh qua cổng dịch vụ công quốc gia. Thí sinh tự do được các điểm tiếp nhận cấp ngay tài khoản khi làm thủ tục đăng ký dự thi.</w:t>
      </w:r>
    </w:p>
    <w:p w14:paraId="474F74FC" w14:textId="531D6FE6" w:rsidR="005833ED" w:rsidRPr="000263E0" w:rsidRDefault="005833ED" w:rsidP="000263E0">
      <w:pPr>
        <w:widowControl w:val="0"/>
        <w:ind w:firstLine="720"/>
      </w:pPr>
      <w:r w:rsidRPr="000263E0">
        <w:t>Với sự nỗ lực, vượt qua khó khăn, sự phối hợp, cộng tác rất tích cực của công an tỉnh</w:t>
      </w:r>
      <w:r w:rsidR="00D8531E" w:rsidRPr="000263E0">
        <w:t xml:space="preserve">, công an </w:t>
      </w:r>
      <w:r w:rsidRPr="000263E0">
        <w:t xml:space="preserve">địa phương với ngành giáo dục, </w:t>
      </w:r>
      <w:r w:rsidR="00D8531E" w:rsidRPr="000263E0">
        <w:t xml:space="preserve">qua 2 năm triển khai thực hiện dịch vụ công trực tuyến thiết yếu “Đăng ký dự thi tốt nghiệp THPT và xét tuyển đại học, cao đẳng” đã đạt </w:t>
      </w:r>
      <w:r w:rsidRPr="000263E0">
        <w:t xml:space="preserve">kết quả rất </w:t>
      </w:r>
      <w:r w:rsidR="00D8531E" w:rsidRPr="000263E0">
        <w:t>tốt, đó là:</w:t>
      </w:r>
    </w:p>
    <w:p w14:paraId="237238A5" w14:textId="77777777" w:rsidR="00D8531E" w:rsidRPr="000263E0" w:rsidRDefault="00D8531E" w:rsidP="000263E0">
      <w:pPr>
        <w:widowControl w:val="0"/>
        <w:ind w:firstLine="720"/>
        <w:rPr>
          <w:lang w:val="de-DE"/>
        </w:rPr>
      </w:pPr>
      <w:r w:rsidRPr="000263E0">
        <w:rPr>
          <w:lang w:val="de-DE"/>
        </w:rPr>
        <w:t>- Năm 2022: Tổng số hồ sơ đăng ký là 16.809 hồ sơ; đăng ký trực tuyến là 16.235 hồ sơ (đạt 96,6%).</w:t>
      </w:r>
    </w:p>
    <w:p w14:paraId="6FF3E376" w14:textId="77777777" w:rsidR="00D8531E" w:rsidRPr="000263E0" w:rsidRDefault="00D8531E" w:rsidP="000263E0">
      <w:pPr>
        <w:widowControl w:val="0"/>
        <w:ind w:firstLine="720"/>
        <w:rPr>
          <w:lang w:val="de-DE"/>
        </w:rPr>
      </w:pPr>
      <w:r w:rsidRPr="000263E0">
        <w:rPr>
          <w:lang w:val="de-DE"/>
        </w:rPr>
        <w:t>- Năm 2023: Tổng số hồ sơ đăng ký là 17.197 hồ sơ; đăng ký trực tuyến là 16.543 hồ sơ (đạt 96,2%).</w:t>
      </w:r>
    </w:p>
    <w:p w14:paraId="50BA78D8" w14:textId="44668E21" w:rsidR="00D8531E" w:rsidRPr="000263E0" w:rsidRDefault="00D8531E" w:rsidP="000263E0">
      <w:pPr>
        <w:widowControl w:val="0"/>
        <w:ind w:firstLine="720"/>
        <w:rPr>
          <w:lang w:val="de-DE"/>
        </w:rPr>
      </w:pPr>
      <w:r w:rsidRPr="000263E0">
        <w:rPr>
          <w:lang w:val="de-DE"/>
        </w:rPr>
        <w:t>Trong đó, thí sinh là học sinh đang học lớp 12 ở năm tổ chức kỳ thi đạt 100% đăng ký trực tuyến. Các hồ sơ đăng ký trực tiếp là của thí sinh tự do theo quy định của Bộ Giáo dục và Đào tạo.</w:t>
      </w:r>
    </w:p>
    <w:p w14:paraId="7FD26770" w14:textId="3C6214B1" w:rsidR="00D8531E" w:rsidRPr="000263E0" w:rsidRDefault="00D8531E" w:rsidP="000263E0">
      <w:pPr>
        <w:widowControl w:val="0"/>
        <w:ind w:firstLine="720"/>
        <w:rPr>
          <w:lang w:val="de-DE"/>
        </w:rPr>
      </w:pPr>
      <w:r w:rsidRPr="000263E0">
        <w:rPr>
          <w:lang w:val="de-DE"/>
        </w:rPr>
        <w:t>V</w:t>
      </w:r>
      <w:r w:rsidRPr="000263E0">
        <w:t xml:space="preserve">iệc đăng ký trực tuyến dự thi tốt nghiệp THPT và xét tuyển đại học, cao đẳng </w:t>
      </w:r>
      <w:r w:rsidRPr="000263E0">
        <w:rPr>
          <w:lang w:val="de-DE"/>
        </w:rPr>
        <w:t xml:space="preserve">đã </w:t>
      </w:r>
      <w:r w:rsidRPr="000263E0">
        <w:t>tiết kiệm được thời gian công sức, giảm được giấy tờ và chi phí khác, đảm bảo tính công khai, minh bạch.</w:t>
      </w:r>
    </w:p>
    <w:p w14:paraId="7431BBE3" w14:textId="39883BCC" w:rsidR="00D8531E" w:rsidRPr="000263E0" w:rsidRDefault="00D8531E" w:rsidP="000263E0">
      <w:pPr>
        <w:widowControl w:val="0"/>
        <w:ind w:firstLine="720"/>
        <w:rPr>
          <w:lang w:val="de-DE"/>
        </w:rPr>
      </w:pPr>
      <w:r w:rsidRPr="000263E0">
        <w:rPr>
          <w:b/>
          <w:bCs/>
          <w:lang w:val="de-DE"/>
        </w:rPr>
        <w:t>3.</w:t>
      </w:r>
      <w:r w:rsidRPr="000263E0">
        <w:rPr>
          <w:lang w:val="de-DE"/>
        </w:rPr>
        <w:t xml:space="preserve"> Về triển khai giải pháp không dùng tiền mặt tại các cơ sở giáo dục trên địa bàn tỉnh:</w:t>
      </w:r>
    </w:p>
    <w:p w14:paraId="1273850C" w14:textId="451531D4" w:rsidR="00D8531E" w:rsidRPr="000263E0" w:rsidRDefault="00D8531E" w:rsidP="000263E0">
      <w:pPr>
        <w:widowControl w:val="0"/>
        <w:ind w:firstLine="720"/>
      </w:pPr>
      <w:r w:rsidRPr="000263E0">
        <w:t>Thực hiện Kế hoạch số 7370/KH-UBND ngày 08/11/2022 của UBND tỉnh Quảng Nam về việc hỗ trợ, thúc đẩy chuyển đổi số, thanh toán không dùng tiền mặt trong các trường học, cơ sở giáo dục và bệnh viện, cơ sở y tế trên địa bàn tỉnh Quảng Nam; Sở Giáo dục và Đào tạo cũng đã ban hành Kế hoạch số 15/KH-</w:t>
      </w:r>
      <w:r w:rsidRPr="000263E0">
        <w:lastRenderedPageBreak/>
        <w:t>SGDĐT ngày 12/01/2023 về việc hỗ trợ, thúc đẩy chuyển đổi số, thanh toán không dùng tiền mặt trong trường học trên địa bàn tỉnh Quảng Nam.</w:t>
      </w:r>
      <w:r w:rsidRPr="000263E0">
        <w:rPr>
          <w:lang w:val="de-DE"/>
        </w:rPr>
        <w:t xml:space="preserve"> </w:t>
      </w:r>
      <w:r w:rsidRPr="000263E0">
        <w:t>Bên cạnh đó, ngày 28/3/2023, Sở cũng đã ban hành Công văn số 659/SGDĐT-QLCLGDTX về việc triển khai thực hiện thu học phí và các khoản thu dịch vụ giáo dục bằng phương thức không dùng tiền mặt trong cơ sở giáo dục.</w:t>
      </w:r>
    </w:p>
    <w:p w14:paraId="0E7621E7" w14:textId="47A56B26" w:rsidR="00D8531E" w:rsidRPr="000263E0" w:rsidRDefault="00D8531E" w:rsidP="000263E0">
      <w:pPr>
        <w:widowControl w:val="0"/>
        <w:ind w:firstLine="720"/>
      </w:pPr>
      <w:r w:rsidRPr="000263E0">
        <w:t>Qua gần 2 năm triển khai thực hiện, kết quả đạt được như sau:</w:t>
      </w:r>
    </w:p>
    <w:p w14:paraId="1971396C" w14:textId="77777777" w:rsidR="00D8531E" w:rsidRPr="000263E0" w:rsidRDefault="00D8531E" w:rsidP="000263E0">
      <w:pPr>
        <w:widowControl w:val="0"/>
        <w:ind w:firstLine="720"/>
      </w:pPr>
      <w:r w:rsidRPr="000263E0">
        <w:t>Có 521 trong tổng số 725 cơ sở giáo dục công lập (71,9%) có sử dụng các phương thức thanh toán không dùng tiền mặt để thanh toán học phí và các giao dịch khác. Trong đó:</w:t>
      </w:r>
    </w:p>
    <w:p w14:paraId="27B4A6FF" w14:textId="77777777" w:rsidR="00D8531E" w:rsidRPr="000263E0" w:rsidRDefault="00D8531E" w:rsidP="000263E0">
      <w:pPr>
        <w:widowControl w:val="0"/>
        <w:ind w:firstLine="720"/>
      </w:pPr>
      <w:r w:rsidRPr="000263E0">
        <w:t>+ Trường Mầm non, Tiểu học, THCS: 476 trường trong tổng số 671 trường Mầm non, Tiểu học, THCS (đạt 70,9%);</w:t>
      </w:r>
    </w:p>
    <w:p w14:paraId="73F9D4B2" w14:textId="58775868" w:rsidR="005833ED" w:rsidRPr="000263E0" w:rsidRDefault="00D8531E" w:rsidP="000263E0">
      <w:pPr>
        <w:widowControl w:val="0"/>
        <w:ind w:firstLine="720"/>
      </w:pPr>
      <w:r w:rsidRPr="000263E0">
        <w:t>+ Trường cấp THPT: 45 trường trong tổng số 54 trường THPT (đạt 83,3%).</w:t>
      </w:r>
    </w:p>
    <w:p w14:paraId="564252E5" w14:textId="19C09A07" w:rsidR="00D8531E" w:rsidRPr="000263E0" w:rsidRDefault="00D8531E" w:rsidP="000263E0">
      <w:pPr>
        <w:widowControl w:val="0"/>
        <w:ind w:firstLine="720"/>
        <w:rPr>
          <w:b/>
          <w:bCs/>
          <w:lang w:val="de-DE"/>
        </w:rPr>
      </w:pPr>
      <w:r w:rsidRPr="000263E0">
        <w:rPr>
          <w:b/>
          <w:bCs/>
          <w:lang w:val="de-DE"/>
        </w:rPr>
        <w:t>II. ĐÁNH GIÁ CHUNG</w:t>
      </w:r>
    </w:p>
    <w:p w14:paraId="4972F4F5" w14:textId="6D153103" w:rsidR="00D8531E" w:rsidRPr="000263E0" w:rsidRDefault="00D8531E" w:rsidP="000263E0">
      <w:pPr>
        <w:widowControl w:val="0"/>
        <w:ind w:firstLine="720"/>
        <w:rPr>
          <w:b/>
          <w:bCs/>
          <w:lang w:val="de-DE"/>
        </w:rPr>
      </w:pPr>
      <w:r w:rsidRPr="000263E0">
        <w:rPr>
          <w:b/>
          <w:bCs/>
          <w:lang w:val="de-DE"/>
        </w:rPr>
        <w:t>1. Ưu điểm</w:t>
      </w:r>
      <w:r w:rsidR="00C62E7C">
        <w:rPr>
          <w:b/>
          <w:bCs/>
          <w:lang w:val="de-DE"/>
        </w:rPr>
        <w:t>, thuận lợi</w:t>
      </w:r>
    </w:p>
    <w:p w14:paraId="5A2C25B5" w14:textId="77777777" w:rsidR="00D8531E" w:rsidRPr="000263E0" w:rsidRDefault="00D8531E" w:rsidP="000263E0">
      <w:pPr>
        <w:widowControl w:val="0"/>
        <w:ind w:firstLine="720"/>
        <w:rPr>
          <w:lang w:val="de-DE"/>
        </w:rPr>
      </w:pPr>
      <w:r w:rsidRPr="000263E0">
        <w:rPr>
          <w:lang w:val="de-DE"/>
        </w:rPr>
        <w:t>- Việc triển khai thực hiện các nhiệm vụ được giao thuộc Đề án 06/CP được Sở Giáo dục và Đào tạo tổ chức thực hiện nghiêm túc, kết quả đạt được rất khả quan.</w:t>
      </w:r>
    </w:p>
    <w:p w14:paraId="6AAF6E43" w14:textId="77777777" w:rsidR="00D8531E" w:rsidRPr="000263E0" w:rsidRDefault="00D8531E" w:rsidP="000263E0">
      <w:pPr>
        <w:widowControl w:val="0"/>
        <w:ind w:firstLine="720"/>
        <w:rPr>
          <w:lang w:val="de-DE"/>
        </w:rPr>
      </w:pPr>
      <w:r w:rsidRPr="000263E0">
        <w:rPr>
          <w:lang w:val="de-DE"/>
        </w:rPr>
        <w:t>- Trên cơ sở các văn bản chỉ đạo, hướng dẫn của Bộ Giáo dục và Đào tạo, Tổ công tác thực hiện Đề án 06/CP của tỉnh, Sở Giáo dục và Đào tạo đã ban hành văn bản chỉ đạo, hướng dẫn kịp thời.</w:t>
      </w:r>
    </w:p>
    <w:p w14:paraId="6725F48D" w14:textId="77777777" w:rsidR="00D8531E" w:rsidRPr="000263E0" w:rsidRDefault="00D8531E" w:rsidP="000263E0">
      <w:pPr>
        <w:widowControl w:val="0"/>
        <w:ind w:firstLine="720"/>
        <w:rPr>
          <w:lang w:val="de-DE"/>
        </w:rPr>
      </w:pPr>
      <w:r w:rsidRPr="000263E0">
        <w:rPr>
          <w:lang w:val="de-DE"/>
        </w:rPr>
        <w:t>- Sở Giáo dục và Đào tạo đã phối hợp chặt chẽ với Công an tỉnh, công an địa phương trong việc hướng dẫn, hỗ trợ cấp mã định danh, căn cước công dân cho học sinh chưa có mã định danh, căn cước công dân để đăng ký dự thi tốt nghiệp THPT và xét tuyển đại học, cao đẳng.</w:t>
      </w:r>
    </w:p>
    <w:p w14:paraId="3623BADC" w14:textId="77777777" w:rsidR="00D8531E" w:rsidRPr="000263E0" w:rsidRDefault="00D8531E" w:rsidP="000263E0">
      <w:pPr>
        <w:widowControl w:val="0"/>
        <w:ind w:firstLine="720"/>
        <w:rPr>
          <w:b/>
          <w:bCs/>
          <w:lang w:val="de-DE"/>
        </w:rPr>
      </w:pPr>
      <w:r w:rsidRPr="000263E0">
        <w:rPr>
          <w:b/>
          <w:bCs/>
          <w:lang w:val="de-DE"/>
        </w:rPr>
        <w:t>2. Tồn tại, hạn chế, khó khăn</w:t>
      </w:r>
    </w:p>
    <w:p w14:paraId="13C46A82" w14:textId="77777777" w:rsidR="00D8531E" w:rsidRPr="000263E0" w:rsidRDefault="00D8531E" w:rsidP="000263E0">
      <w:pPr>
        <w:widowControl w:val="0"/>
        <w:ind w:firstLine="720"/>
        <w:rPr>
          <w:lang w:val="de-DE"/>
        </w:rPr>
      </w:pPr>
      <w:r w:rsidRPr="000263E0">
        <w:rPr>
          <w:lang w:val="de-DE"/>
        </w:rPr>
        <w:t>- Nhận thức về tầm quan trọng của một số cán bộ, giáo viên trong ngành về Đề án 06/CP còn chưa cao.</w:t>
      </w:r>
    </w:p>
    <w:p w14:paraId="7136B5DF" w14:textId="77777777" w:rsidR="00D8531E" w:rsidRPr="000263E0" w:rsidRDefault="00D8531E" w:rsidP="000263E0">
      <w:pPr>
        <w:widowControl w:val="0"/>
        <w:ind w:firstLine="720"/>
        <w:rPr>
          <w:lang w:val="de-DE"/>
        </w:rPr>
      </w:pPr>
      <w:r w:rsidRPr="000263E0">
        <w:rPr>
          <w:lang w:val="de-DE"/>
        </w:rPr>
        <w:t>- Các trường còn chậm trong việc cập nhật và xác thực thông tin học sinh, cán bộ quản lý, giáo viên, nhân viên trên CSDL ngành giáo dục và đào tạo với CSDL quốc gia về dân cư.</w:t>
      </w:r>
    </w:p>
    <w:p w14:paraId="5AEC1223" w14:textId="77777777" w:rsidR="00D8531E" w:rsidRPr="000263E0" w:rsidRDefault="00D8531E" w:rsidP="000263E0">
      <w:pPr>
        <w:widowControl w:val="0"/>
        <w:ind w:firstLine="720"/>
        <w:rPr>
          <w:lang w:val="de-DE"/>
        </w:rPr>
      </w:pPr>
      <w:r w:rsidRPr="000263E0">
        <w:rPr>
          <w:lang w:val="de-DE"/>
        </w:rPr>
        <w:t>- Việc sử dụng các giải pháp không dùng tiền mặt ở các cơ sở giáo dục tuy có chuyển biến tốt nhưng số lượng trường, số lượt giao dịch chưa cao.</w:t>
      </w:r>
    </w:p>
    <w:p w14:paraId="2D80B8BC" w14:textId="77777777" w:rsidR="00D8531E" w:rsidRPr="000263E0" w:rsidRDefault="00D8531E" w:rsidP="000263E0">
      <w:pPr>
        <w:widowControl w:val="0"/>
        <w:ind w:firstLine="720"/>
        <w:rPr>
          <w:lang w:val="de-DE"/>
        </w:rPr>
      </w:pPr>
      <w:r w:rsidRPr="000263E0">
        <w:rPr>
          <w:lang w:val="de-DE"/>
        </w:rPr>
        <w:t>- Qua tổ chức việc đăng ký hồ sơ thi tốt nghiệp THPT và xét tuyển đại học, cao đẳng năm 2022 và năm 2023 trên hệ thống, cũng như việc xác thực điện tử cũng gặp không ít khó khăn như: dữ liệu Quốc gia về dân cư không trùng khớp với dữ liệu ngành giáo dục, cá nhân chưa có căn cước công dân, chưa có mã định danh, sai thông tin khai sinh ngày tháng năm, nơi đăng ký khai sinh ban đầu,…</w:t>
      </w:r>
    </w:p>
    <w:p w14:paraId="3E3BCCFA" w14:textId="77777777" w:rsidR="00D8531E" w:rsidRPr="000263E0" w:rsidRDefault="00D8531E" w:rsidP="000263E0">
      <w:pPr>
        <w:widowControl w:val="0"/>
        <w:ind w:firstLine="720"/>
        <w:rPr>
          <w:lang w:val="de-DE"/>
        </w:rPr>
      </w:pPr>
      <w:r w:rsidRPr="000263E0">
        <w:rPr>
          <w:lang w:val="de-DE"/>
        </w:rPr>
        <w:lastRenderedPageBreak/>
        <w:t>- Thời gian khai báo thông tin và cấp tài khoản cho học sinh liên quan đến số căn cước công dân bị trùng số căn cước công dân giữa các thí sinh trong địa phương, kể cả các tỉnh khác hoặc không đồng bộ với hệ thống cơ sở dữ liệu Quốc gia về dân cư, nên gây ra một số khó khăn trong thời gian chờ xác nhận cấp lại mã định danh mới.</w:t>
      </w:r>
    </w:p>
    <w:p w14:paraId="17337401" w14:textId="3737C360" w:rsidR="00D8531E" w:rsidRPr="000263E0" w:rsidRDefault="00D8531E" w:rsidP="000263E0">
      <w:pPr>
        <w:widowControl w:val="0"/>
        <w:ind w:firstLine="720"/>
        <w:rPr>
          <w:b/>
          <w:bCs/>
          <w:lang w:val="de-DE"/>
        </w:rPr>
      </w:pPr>
      <w:r w:rsidRPr="000263E0">
        <w:rPr>
          <w:b/>
          <w:bCs/>
          <w:lang w:val="de-DE"/>
        </w:rPr>
        <w:t>III. BÀI HỌC KINH NGHIỆM</w:t>
      </w:r>
    </w:p>
    <w:p w14:paraId="2BF61465" w14:textId="7F1A2763" w:rsidR="00D8531E" w:rsidRPr="000263E0" w:rsidRDefault="00D8531E" w:rsidP="000263E0">
      <w:pPr>
        <w:widowControl w:val="0"/>
        <w:ind w:firstLine="720"/>
        <w:rPr>
          <w:lang w:val="de-DE"/>
        </w:rPr>
      </w:pPr>
      <w:r w:rsidRPr="000263E0">
        <w:rPr>
          <w:lang w:val="de-DE"/>
        </w:rPr>
        <w:t>1. Tuyên truyền mạnh mẽ trong học sinh, gia đình học sinh và cán bộ công chức, viên chức và người lao động trong ngành giáo dục nhận thức tầm quan trọng phải có dữ liệu cá nhân đầy đủ để thực hiện các giao dịch điện tử là rất cần thiết.</w:t>
      </w:r>
    </w:p>
    <w:p w14:paraId="1A792BDA" w14:textId="6DD7CFD9" w:rsidR="00D8531E" w:rsidRPr="000263E0" w:rsidRDefault="00D8531E" w:rsidP="000263E0">
      <w:pPr>
        <w:widowControl w:val="0"/>
        <w:ind w:firstLine="720"/>
        <w:rPr>
          <w:lang w:val="de-DE"/>
        </w:rPr>
      </w:pPr>
      <w:r w:rsidRPr="000263E0">
        <w:rPr>
          <w:lang w:val="de-DE"/>
        </w:rPr>
        <w:t>2. Ban hành các văn bản hướng dẫn chi tiết đến học sinh và cán bộ, giáo viên trong ngành về việc thực hiện cập nhật, rà soát thông tin và cách sử dụng phần mềm để rà soát, xác thực trên cơ sở dữ liệu ngành.</w:t>
      </w:r>
    </w:p>
    <w:p w14:paraId="359416C6" w14:textId="01A8517D" w:rsidR="00D8531E" w:rsidRPr="000263E0" w:rsidRDefault="00D8531E" w:rsidP="000263E0">
      <w:pPr>
        <w:widowControl w:val="0"/>
        <w:ind w:firstLine="720"/>
        <w:rPr>
          <w:lang w:val="de-DE"/>
        </w:rPr>
      </w:pPr>
      <w:r w:rsidRPr="000263E0">
        <w:rPr>
          <w:lang w:val="de-DE"/>
        </w:rPr>
        <w:t xml:space="preserve">3. Phối hợp chặt chẽ với công an địa phương nơi công dân cư trú rà soát thông tin, nhận mã định danh điện tử, khuyến khích, ưu tiên học sinh cuối cấp làm căn cước công dân trước. </w:t>
      </w:r>
    </w:p>
    <w:p w14:paraId="67920B8B" w14:textId="3C156755" w:rsidR="00D8531E" w:rsidRPr="000263E0" w:rsidRDefault="00D8531E" w:rsidP="000263E0">
      <w:pPr>
        <w:widowControl w:val="0"/>
        <w:ind w:firstLine="720"/>
        <w:rPr>
          <w:lang w:val="de-DE"/>
        </w:rPr>
      </w:pPr>
      <w:r w:rsidRPr="000263E0">
        <w:rPr>
          <w:lang w:val="de-DE"/>
        </w:rPr>
        <w:t>4. Nâng cao trách nhiệm của cán bộ quản lý trường học trong rà soát, đối chiếu cơ sở dữ liệu về dân cư và việc đồng bộ cơ sở dữ liệu ngành. Thông tin kịp thời các trường hợp chưa xác thực điện tử được với gia đình học sinh, cán bộ, công chức, viên chức và người lao động trong ngành để phối hợp với ngành công an giải quyết./.</w:t>
      </w:r>
    </w:p>
    <w:p w14:paraId="1257441B" w14:textId="7D08C023" w:rsidR="00D8531E" w:rsidRPr="000263E0" w:rsidRDefault="00D8531E" w:rsidP="000263E0">
      <w:pPr>
        <w:widowControl w:val="0"/>
        <w:ind w:firstLine="720"/>
        <w:rPr>
          <w:lang w:val="de-DE"/>
        </w:rPr>
      </w:pPr>
      <w:r w:rsidRPr="000263E0">
        <w:rPr>
          <w:noProof/>
          <w:lang w:val="de-DE"/>
        </w:rPr>
        <mc:AlternateContent>
          <mc:Choice Requires="wps">
            <w:drawing>
              <wp:anchor distT="0" distB="0" distL="114300" distR="114300" simplePos="0" relativeHeight="251662336" behindDoc="0" locked="0" layoutInCell="1" allowOverlap="1" wp14:anchorId="53BFEA89" wp14:editId="3AF73B48">
                <wp:simplePos x="0" y="0"/>
                <wp:positionH relativeFrom="page">
                  <wp:align>center</wp:align>
                </wp:positionH>
                <wp:positionV relativeFrom="paragraph">
                  <wp:posOffset>259994</wp:posOffset>
                </wp:positionV>
                <wp:extent cx="2026311" cy="0"/>
                <wp:effectExtent l="0" t="0" r="0" b="0"/>
                <wp:wrapNone/>
                <wp:docPr id="1838520487" name="Straight Connector 2"/>
                <wp:cNvGraphicFramePr/>
                <a:graphic xmlns:a="http://schemas.openxmlformats.org/drawingml/2006/main">
                  <a:graphicData uri="http://schemas.microsoft.com/office/word/2010/wordprocessingShape">
                    <wps:wsp>
                      <wps:cNvCnPr/>
                      <wps:spPr>
                        <a:xfrm>
                          <a:off x="0" y="0"/>
                          <a:ext cx="20263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EB061F" id="Straight Connector 2" o:spid="_x0000_s1026" style="position:absolute;z-index:251662336;visibility:visible;mso-wrap-style:square;mso-wrap-distance-left:9pt;mso-wrap-distance-top:0;mso-wrap-distance-right:9pt;mso-wrap-distance-bottom:0;mso-position-horizontal:center;mso-position-horizontal-relative:page;mso-position-vertical:absolute;mso-position-vertical-relative:text" from="0,20.45pt" to="159.5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" strokecolor="black [3200]" strokeweight=".5pt">
                <v:stroke joinstyle="miter"/>
                <w10:wrap anchorx="page"/>
              </v:line>
            </w:pict>
          </mc:Fallback>
        </mc:AlternateContent>
      </w:r>
    </w:p>
    <w:sectPr w:rsidR="00D8531E" w:rsidRPr="000263E0" w:rsidSect="001B5C54">
      <w:headerReference w:type="default" r:id="rId6"/>
      <w:pgSz w:w="11907" w:h="16839" w:code="9"/>
      <w:pgMar w:top="1134" w:right="1134" w:bottom="1134" w:left="1701" w:header="567" w:footer="41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3A55E" w14:textId="77777777" w:rsidR="001B5C54" w:rsidRDefault="001B5C54" w:rsidP="005833ED">
      <w:pPr>
        <w:spacing w:before="0" w:line="240" w:lineRule="auto"/>
      </w:pPr>
      <w:r>
        <w:separator/>
      </w:r>
    </w:p>
  </w:endnote>
  <w:endnote w:type="continuationSeparator" w:id="0">
    <w:p w14:paraId="4AFA3FE8" w14:textId="77777777" w:rsidR="001B5C54" w:rsidRDefault="001B5C54" w:rsidP="005833E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6C780" w14:textId="77777777" w:rsidR="001B5C54" w:rsidRDefault="001B5C54" w:rsidP="005833ED">
      <w:pPr>
        <w:spacing w:before="0" w:line="240" w:lineRule="auto"/>
      </w:pPr>
      <w:r>
        <w:separator/>
      </w:r>
    </w:p>
  </w:footnote>
  <w:footnote w:type="continuationSeparator" w:id="0">
    <w:p w14:paraId="1C91A2FC" w14:textId="77777777" w:rsidR="001B5C54" w:rsidRDefault="001B5C54" w:rsidP="005833E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461930"/>
      <w:docPartObj>
        <w:docPartGallery w:val="Page Numbers (Top of Page)"/>
        <w:docPartUnique/>
      </w:docPartObj>
    </w:sdtPr>
    <w:sdtEndPr>
      <w:rPr>
        <w:noProof/>
      </w:rPr>
    </w:sdtEndPr>
    <w:sdtContent>
      <w:p w14:paraId="39E17A6F" w14:textId="4D2093E6" w:rsidR="005833ED" w:rsidRDefault="005833ED" w:rsidP="005833E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598"/>
    <w:rsid w:val="000263E0"/>
    <w:rsid w:val="0007214B"/>
    <w:rsid w:val="00174AE9"/>
    <w:rsid w:val="001B5C54"/>
    <w:rsid w:val="00514B85"/>
    <w:rsid w:val="005833ED"/>
    <w:rsid w:val="005C1070"/>
    <w:rsid w:val="00735797"/>
    <w:rsid w:val="007A27EB"/>
    <w:rsid w:val="00A00187"/>
    <w:rsid w:val="00A03598"/>
    <w:rsid w:val="00B56F57"/>
    <w:rsid w:val="00C62E7C"/>
    <w:rsid w:val="00D27542"/>
    <w:rsid w:val="00D8531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C4E97"/>
  <w15:chartTrackingRefBased/>
  <w15:docId w15:val="{59460CB3-CACB-4260-BE2B-A0736FC7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8"/>
        <w:szCs w:val="28"/>
        <w:lang w:val="vi-VN" w:eastAsia="zh-CN" w:bidi="ar-SA"/>
        <w14:ligatures w14:val="standardContextual"/>
      </w:rPr>
    </w:rPrDefault>
    <w:pPrDefault>
      <w:pPr>
        <w:spacing w:before="12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070"/>
    <w:pPr>
      <w:ind w:left="720"/>
      <w:contextualSpacing/>
    </w:pPr>
  </w:style>
  <w:style w:type="paragraph" w:styleId="Header">
    <w:name w:val="header"/>
    <w:basedOn w:val="Normal"/>
    <w:link w:val="HeaderChar"/>
    <w:uiPriority w:val="99"/>
    <w:unhideWhenUsed/>
    <w:rsid w:val="005833E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833ED"/>
  </w:style>
  <w:style w:type="paragraph" w:styleId="Footer">
    <w:name w:val="footer"/>
    <w:basedOn w:val="Normal"/>
    <w:link w:val="FooterChar"/>
    <w:uiPriority w:val="99"/>
    <w:unhideWhenUsed/>
    <w:rsid w:val="005833E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83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77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Khoi Do</dc:creator>
  <cp:keywords/>
  <dc:description/>
  <cp:lastModifiedBy>Quang Khoi Do</cp:lastModifiedBy>
  <cp:revision>3</cp:revision>
  <dcterms:created xsi:type="dcterms:W3CDTF">2024-01-18T01:27:00Z</dcterms:created>
  <dcterms:modified xsi:type="dcterms:W3CDTF">2024-01-18T02:42:00Z</dcterms:modified>
</cp:coreProperties>
</file>